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F1DE5" w14:textId="755F02D7" w:rsidR="00FE1EE8" w:rsidRDefault="00FE1EE8" w:rsidP="00FE1EE8">
      <w:pPr>
        <w:pStyle w:val="NormalWeb"/>
        <w:jc w:val="center"/>
        <w:rPr>
          <w:rFonts w:ascii="Arial Narrow" w:hAnsi="Arial Narrow"/>
          <w:b/>
          <w:bCs/>
        </w:rPr>
      </w:pPr>
      <w:r>
        <w:rPr>
          <w:rFonts w:ascii="Arial Narrow" w:hAnsi="Arial Narrow"/>
          <w:b/>
          <w:bCs/>
        </w:rPr>
        <w:t>ARTICULOS</w:t>
      </w:r>
    </w:p>
    <w:p w14:paraId="771F4844" w14:textId="5350ABE4" w:rsidR="002247D8" w:rsidRPr="0017254D" w:rsidRDefault="002247D8" w:rsidP="0017254D">
      <w:pPr>
        <w:pStyle w:val="NormalWeb"/>
        <w:jc w:val="both"/>
        <w:rPr>
          <w:rFonts w:ascii="Arial Narrow" w:hAnsi="Arial Narrow"/>
          <w:b/>
          <w:bCs/>
        </w:rPr>
      </w:pPr>
      <w:r w:rsidRPr="0017254D">
        <w:rPr>
          <w:rFonts w:ascii="Arial Narrow" w:hAnsi="Arial Narrow"/>
          <w:b/>
          <w:bCs/>
        </w:rPr>
        <w:t>DOCUMENTO Nº1</w:t>
      </w:r>
    </w:p>
    <w:p w14:paraId="4AADA049" w14:textId="4ADC0E59" w:rsidR="002247D8" w:rsidRPr="0017254D" w:rsidRDefault="002247D8" w:rsidP="0017254D">
      <w:pPr>
        <w:pStyle w:val="NormalWeb"/>
        <w:jc w:val="both"/>
        <w:rPr>
          <w:rFonts w:ascii="Arial Narrow" w:hAnsi="Arial Narrow"/>
          <w:b/>
          <w:bCs/>
        </w:rPr>
      </w:pPr>
      <w:r w:rsidRPr="0017254D">
        <w:rPr>
          <w:rFonts w:ascii="Arial Narrow" w:hAnsi="Arial Narrow"/>
          <w:b/>
          <w:bCs/>
        </w:rPr>
        <w:t>Presentación</w:t>
      </w:r>
    </w:p>
    <w:p w14:paraId="30F54951" w14:textId="1C536079" w:rsidR="004C27D5" w:rsidRPr="0017254D" w:rsidRDefault="004C27D5" w:rsidP="0017254D">
      <w:pPr>
        <w:pStyle w:val="NormalWeb"/>
        <w:jc w:val="both"/>
        <w:rPr>
          <w:rFonts w:ascii="Arial Narrow" w:hAnsi="Arial Narrow"/>
        </w:rPr>
      </w:pPr>
      <w:r w:rsidRPr="0017254D">
        <w:rPr>
          <w:rFonts w:ascii="Arial Narrow" w:hAnsi="Arial Narrow"/>
        </w:rPr>
        <w:t>En Bolivia, la ingeniería sísmica está evolucionando, y la estimación precisa de la velocidad de la onda de corte (Vs) mediante métodos de fuentes pasivas es cada vez más crucial para el diseño sísmico. Para los profesionales que buscan la excelencia en la caracterización de suelos de cimentación, especialmente en terrenos complejos con sedimentos cuaternarios como los limos, es fundamental contar con herramientas y conocimientos avanzados. El siguiente artículo presenta un estudio de caso relevante que destaca la importancia de estas técnicas</w:t>
      </w:r>
      <w:r w:rsidRPr="0017254D">
        <w:rPr>
          <w:rFonts w:ascii="Arial Narrow" w:hAnsi="Arial Narrow"/>
        </w:rPr>
        <w:t xml:space="preserve"> a fin de traducir </w:t>
      </w:r>
      <w:r w:rsidR="00E26D2D" w:rsidRPr="0017254D">
        <w:rPr>
          <w:rFonts w:ascii="Arial Narrow" w:hAnsi="Arial Narrow"/>
        </w:rPr>
        <w:t>a suelos bolivianos similares.</w:t>
      </w:r>
    </w:p>
    <w:p w14:paraId="5F1222AA" w14:textId="5EDF20AC" w:rsidR="002247D8" w:rsidRPr="0017254D" w:rsidRDefault="002247D8" w:rsidP="0017254D">
      <w:pPr>
        <w:pStyle w:val="NormalWeb"/>
        <w:jc w:val="both"/>
        <w:rPr>
          <w:rFonts w:ascii="Arial Narrow" w:hAnsi="Arial Narrow"/>
          <w:lang w:val="en-US"/>
        </w:rPr>
      </w:pPr>
      <w:r w:rsidRPr="0017254D">
        <w:rPr>
          <w:rFonts w:ascii="Arial Narrow" w:hAnsi="Arial Narrow"/>
          <w:lang w:val="en-US"/>
        </w:rPr>
        <w:t xml:space="preserve">Roberts, J. y </w:t>
      </w:r>
      <w:proofErr w:type="spellStart"/>
      <w:r w:rsidRPr="0017254D">
        <w:rPr>
          <w:rFonts w:ascii="Arial Narrow" w:hAnsi="Arial Narrow"/>
          <w:lang w:val="en-US"/>
        </w:rPr>
        <w:t>Asten</w:t>
      </w:r>
      <w:proofErr w:type="spellEnd"/>
      <w:r w:rsidRPr="0017254D">
        <w:rPr>
          <w:rFonts w:ascii="Arial Narrow" w:hAnsi="Arial Narrow"/>
          <w:lang w:val="en-US"/>
        </w:rPr>
        <w:t>, M., 2005, Estimating the shear velocity profile of Quaternary silts using microtremor array (SPAC) measurements: Exploration Geophysics, 36, 34-40.</w:t>
      </w:r>
    </w:p>
    <w:p w14:paraId="2EB1CAEB" w14:textId="7E5CC61F" w:rsidR="002247D8" w:rsidRPr="0017254D" w:rsidRDefault="002247D8" w:rsidP="0017254D">
      <w:pPr>
        <w:pStyle w:val="NormalWeb"/>
        <w:jc w:val="both"/>
        <w:rPr>
          <w:rFonts w:ascii="Arial Narrow" w:hAnsi="Arial Narrow"/>
          <w:b/>
          <w:bCs/>
        </w:rPr>
      </w:pPr>
      <w:r w:rsidRPr="0017254D">
        <w:rPr>
          <w:rFonts w:ascii="Arial Narrow" w:hAnsi="Arial Narrow"/>
          <w:b/>
          <w:bCs/>
        </w:rPr>
        <w:t>Resumen</w:t>
      </w:r>
      <w:r w:rsidR="00E26D2D" w:rsidRPr="0017254D">
        <w:rPr>
          <w:rFonts w:ascii="Arial Narrow" w:hAnsi="Arial Narrow"/>
          <w:b/>
          <w:bCs/>
        </w:rPr>
        <w:t xml:space="preserve"> Articulo</w:t>
      </w:r>
    </w:p>
    <w:p w14:paraId="710628C8" w14:textId="3897B2C4" w:rsidR="002247D8" w:rsidRPr="0017254D" w:rsidRDefault="002247D8" w:rsidP="0017254D">
      <w:pPr>
        <w:pStyle w:val="NormalWeb"/>
        <w:jc w:val="both"/>
        <w:rPr>
          <w:rFonts w:ascii="Arial Narrow" w:hAnsi="Arial Narrow"/>
        </w:rPr>
      </w:pPr>
      <w:r w:rsidRPr="0017254D">
        <w:rPr>
          <w:rFonts w:ascii="Arial Narrow" w:hAnsi="Arial Narrow"/>
        </w:rPr>
        <w:t xml:space="preserve">Roberts y </w:t>
      </w:r>
      <w:proofErr w:type="spellStart"/>
      <w:r w:rsidRPr="0017254D">
        <w:rPr>
          <w:rFonts w:ascii="Arial Narrow" w:hAnsi="Arial Narrow"/>
        </w:rPr>
        <w:t>Asten</w:t>
      </w:r>
      <w:proofErr w:type="spellEnd"/>
      <w:r w:rsidRPr="0017254D">
        <w:rPr>
          <w:rFonts w:ascii="Arial Narrow" w:hAnsi="Arial Narrow"/>
        </w:rPr>
        <w:t xml:space="preserve"> (2005) exploraron el uso del método de </w:t>
      </w:r>
      <w:proofErr w:type="spellStart"/>
      <w:r w:rsidRPr="0017254D">
        <w:rPr>
          <w:rFonts w:ascii="Arial Narrow" w:hAnsi="Arial Narrow"/>
        </w:rPr>
        <w:t>microtremores</w:t>
      </w:r>
      <w:proofErr w:type="spellEnd"/>
      <w:r w:rsidRPr="0017254D">
        <w:rPr>
          <w:rFonts w:ascii="Arial Narrow" w:hAnsi="Arial Narrow"/>
        </w:rPr>
        <w:t xml:space="preserve"> para caracterizar el perfil de velocidad de la onda de corte de los sedimentos del Cuaternario en el Delta del </w:t>
      </w:r>
      <w:proofErr w:type="spellStart"/>
      <w:r w:rsidRPr="0017254D">
        <w:rPr>
          <w:rFonts w:ascii="Arial Narrow" w:hAnsi="Arial Narrow"/>
        </w:rPr>
        <w:t>Yarra</w:t>
      </w:r>
      <w:proofErr w:type="spellEnd"/>
      <w:r w:rsidRPr="0017254D">
        <w:rPr>
          <w:rFonts w:ascii="Arial Narrow" w:hAnsi="Arial Narrow"/>
        </w:rPr>
        <w:t xml:space="preserve">, Australia, utilizando métodos sísmicos pasivos no invasivos. El estudio se centró en la estimación de los perfiles de velocidad de la onda de corte de los sedimentos no consolidados del Cuaternario, en particular los limos cercanos a la superficie, hasta una profundidad de 30 a 50 metros. </w:t>
      </w:r>
    </w:p>
    <w:p w14:paraId="14577818" w14:textId="080A5135" w:rsidR="002247D8" w:rsidRPr="0017254D" w:rsidRDefault="002247D8" w:rsidP="0017254D">
      <w:pPr>
        <w:pStyle w:val="NormalWeb"/>
        <w:jc w:val="both"/>
        <w:rPr>
          <w:rFonts w:ascii="Arial Narrow" w:hAnsi="Arial Narrow"/>
        </w:rPr>
      </w:pPr>
      <w:r w:rsidRPr="0017254D">
        <w:rPr>
          <w:rFonts w:ascii="Arial Narrow" w:hAnsi="Arial Narrow"/>
        </w:rPr>
        <w:t xml:space="preserve">Los investigadores utilizaron matrices de hasta 96 m de diámetro para llevar a cabo estimaciones no invasivas de los perfiles de velocidad de la onda de corte. Su interpretación se centró en dos unidades de limo: el Limo de </w:t>
      </w:r>
      <w:proofErr w:type="spellStart"/>
      <w:r w:rsidRPr="0017254D">
        <w:rPr>
          <w:rFonts w:ascii="Arial Narrow" w:hAnsi="Arial Narrow"/>
          <w:i/>
          <w:iCs/>
        </w:rPr>
        <w:t>Coode</w:t>
      </w:r>
      <w:proofErr w:type="spellEnd"/>
      <w:r w:rsidRPr="0017254D">
        <w:rPr>
          <w:rFonts w:ascii="Arial Narrow" w:hAnsi="Arial Narrow"/>
          <w:i/>
          <w:iCs/>
        </w:rPr>
        <w:t xml:space="preserve"> Island</w:t>
      </w:r>
      <w:r w:rsidRPr="0017254D">
        <w:rPr>
          <w:rFonts w:ascii="Arial Narrow" w:hAnsi="Arial Narrow"/>
        </w:rPr>
        <w:t xml:space="preserve"> y el Limo de </w:t>
      </w:r>
      <w:proofErr w:type="spellStart"/>
      <w:r w:rsidRPr="0017254D">
        <w:rPr>
          <w:rFonts w:ascii="Arial Narrow" w:hAnsi="Arial Narrow"/>
          <w:i/>
          <w:iCs/>
        </w:rPr>
        <w:t>Fishermans</w:t>
      </w:r>
      <w:proofErr w:type="spellEnd"/>
      <w:r w:rsidRPr="0017254D">
        <w:rPr>
          <w:rFonts w:ascii="Arial Narrow" w:hAnsi="Arial Narrow"/>
          <w:i/>
          <w:iCs/>
        </w:rPr>
        <w:t xml:space="preserve"> Bend.</w:t>
      </w:r>
      <w:r w:rsidRPr="0017254D">
        <w:rPr>
          <w:rFonts w:ascii="Arial Narrow" w:hAnsi="Arial Narrow"/>
        </w:rPr>
        <w:t xml:space="preserve"> El método empleado proporcionó velocidades de corte para estas unidades con una precisión del 5%, diferenciando entre la unidad más blanda anterior (Vs = 130 m/</w:t>
      </w:r>
      <w:proofErr w:type="spellStart"/>
      <w:r w:rsidRPr="0017254D">
        <w:rPr>
          <w:rFonts w:ascii="Arial Narrow" w:hAnsi="Arial Narrow"/>
        </w:rPr>
        <w:t>seg</w:t>
      </w:r>
      <w:proofErr w:type="spellEnd"/>
      <w:r w:rsidRPr="0017254D">
        <w:rPr>
          <w:rFonts w:ascii="Arial Narrow" w:hAnsi="Arial Narrow"/>
        </w:rPr>
        <w:t>) y la unidad más firme posterior (Vs = 235 m/</w:t>
      </w:r>
      <w:proofErr w:type="spellStart"/>
      <w:r w:rsidRPr="0017254D">
        <w:rPr>
          <w:rFonts w:ascii="Arial Narrow" w:hAnsi="Arial Narrow"/>
        </w:rPr>
        <w:t>seg</w:t>
      </w:r>
      <w:proofErr w:type="spellEnd"/>
      <w:r w:rsidRPr="0017254D">
        <w:rPr>
          <w:rFonts w:ascii="Arial Narrow" w:hAnsi="Arial Narrow"/>
        </w:rPr>
        <w:t xml:space="preserve">). </w:t>
      </w:r>
    </w:p>
    <w:p w14:paraId="7AA6F8DF" w14:textId="49F4E547" w:rsidR="002247D8" w:rsidRDefault="002247D8" w:rsidP="0017254D">
      <w:pPr>
        <w:pStyle w:val="NormalWeb"/>
        <w:jc w:val="both"/>
        <w:rPr>
          <w:rFonts w:ascii="Arial Narrow" w:hAnsi="Arial Narrow"/>
        </w:rPr>
      </w:pPr>
      <w:r w:rsidRPr="0017254D">
        <w:rPr>
          <w:rFonts w:ascii="Arial Narrow" w:hAnsi="Arial Narrow"/>
        </w:rPr>
        <w:t>Debajo de estas capas de limo, el método resolvió una unidad firme que se correlaciona con gravas conocidas, con velocidades de 500 a 650 m/</w:t>
      </w:r>
      <w:proofErr w:type="spellStart"/>
      <w:r w:rsidRPr="0017254D">
        <w:rPr>
          <w:rFonts w:ascii="Arial Narrow" w:hAnsi="Arial Narrow"/>
        </w:rPr>
        <w:t>seg</w:t>
      </w:r>
      <w:proofErr w:type="spellEnd"/>
      <w:r w:rsidRPr="0017254D">
        <w:rPr>
          <w:rFonts w:ascii="Arial Narrow" w:hAnsi="Arial Narrow"/>
        </w:rPr>
        <w:t>. Los autores también emplearon sondeos de superficie utilizando el método de relación espectral H/V de una sola estación, demostrando que la variación en el espesor del limo más blando puede ser mapeada rápidamente pero solo cualitativamente. En última instancia, el estudio concluyó que la complejidad de la sección geológica requería el uso de métodos de matriz para obtener perfiles cuantitativos de velocidad de la onda de corte.</w:t>
      </w:r>
    </w:p>
    <w:p w14:paraId="530CC02A" w14:textId="49BCECAA" w:rsidR="00ED2215" w:rsidRPr="0017254D" w:rsidRDefault="00ED2215" w:rsidP="0017254D">
      <w:pPr>
        <w:pStyle w:val="NormalWeb"/>
        <w:jc w:val="both"/>
        <w:rPr>
          <w:rFonts w:ascii="Arial Narrow" w:hAnsi="Arial Narrow"/>
        </w:rPr>
      </w:pPr>
      <w:r>
        <w:rPr>
          <w:rFonts w:ascii="Arial Narrow" w:hAnsi="Arial Narrow"/>
        </w:rPr>
        <w:object w:dxaOrig="1520" w:dyaOrig="987" w14:anchorId="6FD01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2pt;height:49.2pt" o:ole="">
            <v:imagedata r:id="rId5" o:title=""/>
          </v:shape>
          <o:OLEObject Type="Embed" ProgID="Package" ShapeID="_x0000_i1026" DrawAspect="Icon" ObjectID="_1806750909" r:id="rId6"/>
        </w:object>
      </w:r>
    </w:p>
    <w:p w14:paraId="6BDD6286" w14:textId="1A889D34" w:rsidR="002247D8" w:rsidRPr="0017254D" w:rsidRDefault="002247D8" w:rsidP="0017254D">
      <w:pPr>
        <w:pStyle w:val="NormalWeb"/>
        <w:jc w:val="both"/>
        <w:rPr>
          <w:rFonts w:ascii="Arial Narrow" w:hAnsi="Arial Narrow"/>
        </w:rPr>
      </w:pPr>
      <w:r w:rsidRPr="0017254D">
        <w:rPr>
          <w:rFonts w:ascii="Arial Narrow" w:hAnsi="Arial Narrow"/>
        </w:rPr>
        <w:t>Asten_Vs_QtSilts_SPAC.pdf</w:t>
      </w:r>
    </w:p>
    <w:p w14:paraId="566B045A" w14:textId="27A147CB" w:rsidR="002247D8" w:rsidRPr="0017254D" w:rsidRDefault="002247D8" w:rsidP="0017254D">
      <w:pPr>
        <w:jc w:val="both"/>
        <w:rPr>
          <w:rFonts w:ascii="Arial Narrow" w:hAnsi="Arial Narrow"/>
        </w:rPr>
      </w:pPr>
      <w:r w:rsidRPr="0017254D">
        <w:rPr>
          <w:rFonts w:ascii="Arial Narrow" w:hAnsi="Arial Narrow"/>
        </w:rPr>
        <w:br w:type="page"/>
      </w:r>
    </w:p>
    <w:p w14:paraId="0D02C93B" w14:textId="6027F9EB" w:rsidR="002247D8" w:rsidRPr="0017254D" w:rsidRDefault="002247D8" w:rsidP="0017254D">
      <w:pPr>
        <w:pStyle w:val="NormalWeb"/>
        <w:jc w:val="both"/>
        <w:rPr>
          <w:rFonts w:ascii="Arial Narrow" w:hAnsi="Arial Narrow"/>
          <w:b/>
          <w:bCs/>
        </w:rPr>
      </w:pPr>
      <w:r w:rsidRPr="0017254D">
        <w:rPr>
          <w:rFonts w:ascii="Arial Narrow" w:hAnsi="Arial Narrow"/>
          <w:b/>
          <w:bCs/>
        </w:rPr>
        <w:lastRenderedPageBreak/>
        <w:t>DOCUMENTO Nº</w:t>
      </w:r>
      <w:r w:rsidRPr="0017254D">
        <w:rPr>
          <w:rFonts w:ascii="Arial Narrow" w:hAnsi="Arial Narrow"/>
          <w:b/>
          <w:bCs/>
        </w:rPr>
        <w:t>2</w:t>
      </w:r>
    </w:p>
    <w:p w14:paraId="2DE43B77" w14:textId="31BDA10C" w:rsidR="0017254D" w:rsidRPr="0017254D" w:rsidRDefault="005B16C2" w:rsidP="0017254D">
      <w:pPr>
        <w:spacing w:before="100" w:beforeAutospacing="1" w:after="100" w:afterAutospacing="1" w:line="240" w:lineRule="auto"/>
        <w:jc w:val="both"/>
        <w:rPr>
          <w:rFonts w:ascii="Arial Narrow" w:eastAsia="Times New Roman" w:hAnsi="Arial Narrow" w:cs="Times New Roman"/>
          <w:sz w:val="24"/>
          <w:szCs w:val="24"/>
          <w:lang w:eastAsia="es-BO"/>
        </w:rPr>
      </w:pPr>
      <w:r>
        <w:rPr>
          <w:rFonts w:ascii="Arial Narrow" w:eastAsia="Times New Roman" w:hAnsi="Arial Narrow" w:cs="Times New Roman"/>
          <w:b/>
          <w:bCs/>
          <w:sz w:val="24"/>
          <w:szCs w:val="24"/>
          <w:lang w:eastAsia="es-BO"/>
        </w:rPr>
        <w:t>Presentación</w:t>
      </w:r>
      <w:r w:rsidR="0017254D" w:rsidRPr="0017254D">
        <w:rPr>
          <w:rFonts w:ascii="Arial Narrow" w:eastAsia="Times New Roman" w:hAnsi="Arial Narrow" w:cs="Times New Roman"/>
          <w:b/>
          <w:bCs/>
          <w:sz w:val="24"/>
          <w:szCs w:val="24"/>
          <w:lang w:eastAsia="es-BO"/>
        </w:rPr>
        <w:t>:</w:t>
      </w:r>
    </w:p>
    <w:p w14:paraId="27CA1382" w14:textId="6E0D05EF" w:rsidR="0017254D" w:rsidRDefault="0017254D" w:rsidP="0017254D">
      <w:p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 xml:space="preserve">La gestión ambiental efectiva de botaderos requiere una comprensión detallada de la geología del subsuelo para prevenir la contaminación y mitigar riesgos. Métodos geofísicos avanzados, como el Análisis Multicanal de Ondas Superficiales (MASW), están demostrando ser herramientas valiosas para caracterizar estos sitios. </w:t>
      </w:r>
      <w:r w:rsidR="005B16C2">
        <w:rPr>
          <w:rFonts w:ascii="Arial Narrow" w:eastAsia="Times New Roman" w:hAnsi="Arial Narrow" w:cs="Times New Roman"/>
          <w:sz w:val="24"/>
          <w:szCs w:val="24"/>
          <w:lang w:eastAsia="es-BO"/>
        </w:rPr>
        <w:t>El siguiente</w:t>
      </w:r>
      <w:r w:rsidRPr="0017254D">
        <w:rPr>
          <w:rFonts w:ascii="Arial Narrow" w:eastAsia="Times New Roman" w:hAnsi="Arial Narrow" w:cs="Times New Roman"/>
          <w:sz w:val="24"/>
          <w:szCs w:val="24"/>
          <w:lang w:eastAsia="es-BO"/>
        </w:rPr>
        <w:t xml:space="preserve"> artículo presenta un caso de estudio que ilustra cómo MASW puede aplicarse para mapear la roca madre y detectar zonas de fractura, información crítica para evaluar la integridad de las barreras naturales en botaderos. </w:t>
      </w:r>
    </w:p>
    <w:p w14:paraId="04A99418" w14:textId="40BBE336" w:rsidR="005B16C2" w:rsidRPr="0017254D" w:rsidRDefault="005B16C2" w:rsidP="0017254D">
      <w:pPr>
        <w:spacing w:before="100" w:beforeAutospacing="1" w:after="100" w:afterAutospacing="1" w:line="240" w:lineRule="auto"/>
        <w:jc w:val="both"/>
        <w:rPr>
          <w:rFonts w:ascii="Arial Narrow" w:eastAsia="Times New Roman" w:hAnsi="Arial Narrow" w:cs="Times New Roman"/>
          <w:sz w:val="24"/>
          <w:szCs w:val="24"/>
          <w:lang w:val="en-US" w:eastAsia="es-BO"/>
        </w:rPr>
      </w:pPr>
      <w:r w:rsidRPr="005B16C2">
        <w:rPr>
          <w:rFonts w:ascii="Arial Narrow" w:eastAsia="Times New Roman" w:hAnsi="Arial Narrow" w:cs="Times New Roman"/>
          <w:sz w:val="24"/>
          <w:szCs w:val="24"/>
          <w:lang w:val="en-US" w:eastAsia="es-BO"/>
        </w:rPr>
        <w:t>Miller, R.D., Xia, J., Park, C.B. y Ivanov, J.M., 2001, Multichannel analysis of surface waves to map bedrock: The Leading Edge, 20 (12), 1298–1303.</w:t>
      </w:r>
    </w:p>
    <w:p w14:paraId="0E5B1C73" w14:textId="75135DDB" w:rsidR="0017254D" w:rsidRPr="0017254D" w:rsidRDefault="0017254D" w:rsidP="0017254D">
      <w:p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b/>
          <w:bCs/>
          <w:sz w:val="24"/>
          <w:szCs w:val="24"/>
          <w:lang w:eastAsia="es-BO"/>
        </w:rPr>
        <w:t xml:space="preserve">Aplicación </w:t>
      </w:r>
      <w:r w:rsidR="005B16C2">
        <w:rPr>
          <w:rFonts w:ascii="Arial Narrow" w:eastAsia="Times New Roman" w:hAnsi="Arial Narrow" w:cs="Times New Roman"/>
          <w:b/>
          <w:bCs/>
          <w:sz w:val="24"/>
          <w:szCs w:val="24"/>
          <w:lang w:eastAsia="es-BO"/>
        </w:rPr>
        <w:t xml:space="preserve">en el Botadero de </w:t>
      </w:r>
      <w:proofErr w:type="spellStart"/>
      <w:r w:rsidRPr="0017254D">
        <w:rPr>
          <w:rFonts w:ascii="Arial Narrow" w:eastAsia="Times New Roman" w:hAnsi="Arial Narrow" w:cs="Times New Roman"/>
          <w:b/>
          <w:bCs/>
          <w:sz w:val="24"/>
          <w:szCs w:val="24"/>
          <w:lang w:eastAsia="es-BO"/>
        </w:rPr>
        <w:t>Karakara</w:t>
      </w:r>
      <w:proofErr w:type="spellEnd"/>
      <w:r w:rsidRPr="0017254D">
        <w:rPr>
          <w:rFonts w:ascii="Arial Narrow" w:eastAsia="Times New Roman" w:hAnsi="Arial Narrow" w:cs="Times New Roman"/>
          <w:b/>
          <w:bCs/>
          <w:sz w:val="24"/>
          <w:szCs w:val="24"/>
          <w:lang w:eastAsia="es-BO"/>
        </w:rPr>
        <w:t>:</w:t>
      </w:r>
    </w:p>
    <w:p w14:paraId="585F206C" w14:textId="31A11A4F" w:rsidR="0017254D" w:rsidRPr="0017254D" w:rsidRDefault="0017254D" w:rsidP="0017254D">
      <w:p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 xml:space="preserve">En el contexto del botadero de </w:t>
      </w:r>
      <w:proofErr w:type="spellStart"/>
      <w:r w:rsidRPr="0017254D">
        <w:rPr>
          <w:rFonts w:ascii="Arial Narrow" w:eastAsia="Times New Roman" w:hAnsi="Arial Narrow" w:cs="Times New Roman"/>
          <w:sz w:val="24"/>
          <w:szCs w:val="24"/>
          <w:lang w:eastAsia="es-BO"/>
        </w:rPr>
        <w:t>Karakara</w:t>
      </w:r>
      <w:proofErr w:type="spellEnd"/>
      <w:r w:rsidRPr="0017254D">
        <w:rPr>
          <w:rFonts w:ascii="Arial Narrow" w:eastAsia="Times New Roman" w:hAnsi="Arial Narrow" w:cs="Times New Roman"/>
          <w:sz w:val="24"/>
          <w:szCs w:val="24"/>
          <w:lang w:eastAsia="es-BO"/>
        </w:rPr>
        <w:t>, la técnica MASW ofrece un potencial significativo.</w:t>
      </w:r>
    </w:p>
    <w:p w14:paraId="546BB55C" w14:textId="0FBEED07" w:rsidR="0017254D" w:rsidRPr="0017254D" w:rsidRDefault="0017254D" w:rsidP="0017254D">
      <w:pPr>
        <w:numPr>
          <w:ilvl w:val="0"/>
          <w:numId w:val="1"/>
        </w:num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b/>
          <w:bCs/>
          <w:sz w:val="24"/>
          <w:szCs w:val="24"/>
          <w:lang w:eastAsia="es-BO"/>
        </w:rPr>
        <w:t>Rocas Impermeables vs. Fracturas:</w:t>
      </w:r>
      <w:r w:rsidRPr="0017254D">
        <w:rPr>
          <w:rFonts w:ascii="Arial Narrow" w:eastAsia="Times New Roman" w:hAnsi="Arial Narrow" w:cs="Times New Roman"/>
          <w:sz w:val="24"/>
          <w:szCs w:val="24"/>
          <w:lang w:eastAsia="es-BO"/>
        </w:rPr>
        <w:t xml:space="preserve"> MASW puede ayudar a diferenciar entre las areniscas silícicas impermeables, que actúan como barreras naturales</w:t>
      </w:r>
      <w:r w:rsidR="005B16C2">
        <w:rPr>
          <w:rFonts w:ascii="Arial Narrow" w:eastAsia="Times New Roman" w:hAnsi="Arial Narrow" w:cs="Times New Roman"/>
          <w:sz w:val="24"/>
          <w:szCs w:val="24"/>
          <w:lang w:eastAsia="es-BO"/>
        </w:rPr>
        <w:t xml:space="preserve"> por su porosidad primeria</w:t>
      </w:r>
      <w:r w:rsidRPr="0017254D">
        <w:rPr>
          <w:rFonts w:ascii="Arial Narrow" w:eastAsia="Times New Roman" w:hAnsi="Arial Narrow" w:cs="Times New Roman"/>
          <w:sz w:val="24"/>
          <w:szCs w:val="24"/>
          <w:lang w:eastAsia="es-BO"/>
        </w:rPr>
        <w:t>, y las zonas fracturadas</w:t>
      </w:r>
      <w:r w:rsidR="005B16C2">
        <w:rPr>
          <w:rFonts w:ascii="Arial Narrow" w:eastAsia="Times New Roman" w:hAnsi="Arial Narrow" w:cs="Times New Roman"/>
          <w:sz w:val="24"/>
          <w:szCs w:val="24"/>
          <w:lang w:eastAsia="es-BO"/>
        </w:rPr>
        <w:t xml:space="preserve"> por su porosidad secundaria</w:t>
      </w:r>
      <w:r w:rsidRPr="0017254D">
        <w:rPr>
          <w:rFonts w:ascii="Arial Narrow" w:eastAsia="Times New Roman" w:hAnsi="Arial Narrow" w:cs="Times New Roman"/>
          <w:sz w:val="24"/>
          <w:szCs w:val="24"/>
          <w:lang w:eastAsia="es-BO"/>
        </w:rPr>
        <w:t xml:space="preserve"> que podrían permitir la migración de lixiviados. La velocidad de la onda de corte (Vs) es un parámetro clave: las rocas sanas y compactas mostrarán altas velocidades de Vs, mientras que las zonas fracturadas tendrán velocidades más bajas. </w:t>
      </w:r>
    </w:p>
    <w:p w14:paraId="43197A5D" w14:textId="16E42893" w:rsidR="0017254D" w:rsidRPr="0017254D" w:rsidRDefault="0017254D" w:rsidP="0017254D">
      <w:pPr>
        <w:numPr>
          <w:ilvl w:val="0"/>
          <w:numId w:val="1"/>
        </w:num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b/>
          <w:bCs/>
          <w:sz w:val="24"/>
          <w:szCs w:val="24"/>
          <w:lang w:eastAsia="es-BO"/>
        </w:rPr>
        <w:t>Mapeo de la Roca Madre:</w:t>
      </w:r>
      <w:r w:rsidRPr="0017254D">
        <w:rPr>
          <w:rFonts w:ascii="Arial Narrow" w:eastAsia="Times New Roman" w:hAnsi="Arial Narrow" w:cs="Times New Roman"/>
          <w:sz w:val="24"/>
          <w:szCs w:val="24"/>
          <w:lang w:eastAsia="es-BO"/>
        </w:rPr>
        <w:t xml:space="preserve"> Es crucial conocer la profundidad y la topografía de la roca madre para modelar el flujo de fluidos subterráneos y predecir la dispersión de contaminantes. MASW permite un mapeo detallado de esta superficie, identificando canales o depresiones que podrían actuar como vías preferenciales para los lixiviados.</w:t>
      </w:r>
    </w:p>
    <w:p w14:paraId="73EAC239" w14:textId="77777777" w:rsidR="0017254D" w:rsidRPr="0017254D" w:rsidRDefault="0017254D" w:rsidP="0017254D">
      <w:p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El estudio de Miller et al. (2001) demostró que MASW es efectivo para:</w:t>
      </w:r>
    </w:p>
    <w:p w14:paraId="1029F4BA" w14:textId="46451FB7" w:rsidR="0017254D" w:rsidRPr="0017254D" w:rsidRDefault="0017254D" w:rsidP="0017254D">
      <w:pPr>
        <w:numPr>
          <w:ilvl w:val="0"/>
          <w:numId w:val="2"/>
        </w:num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 xml:space="preserve">Mapear con precisión la superficie de la roca madre. </w:t>
      </w:r>
    </w:p>
    <w:p w14:paraId="349E4C54" w14:textId="679BE453" w:rsidR="0017254D" w:rsidRPr="0017254D" w:rsidRDefault="0017254D" w:rsidP="0017254D">
      <w:pPr>
        <w:numPr>
          <w:ilvl w:val="0"/>
          <w:numId w:val="2"/>
        </w:num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Identificar zonas de fractura y otras anomalías subsuperficiales que pueden influir en el movimiento de fluidos.</w:t>
      </w:r>
    </w:p>
    <w:p w14:paraId="37E2F44E" w14:textId="48947CF8" w:rsidR="0017254D" w:rsidRPr="0017254D" w:rsidRDefault="0017254D" w:rsidP="0017254D">
      <w:pPr>
        <w:numPr>
          <w:ilvl w:val="0"/>
          <w:numId w:val="2"/>
        </w:num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 xml:space="preserve">Integrar los resultados con datos de perforaciones para una caracterización más completa del subsuelo. </w:t>
      </w:r>
    </w:p>
    <w:p w14:paraId="30947262" w14:textId="77777777" w:rsidR="00ED2215" w:rsidRDefault="0017254D" w:rsidP="00ED2215">
      <w:pPr>
        <w:spacing w:before="100" w:beforeAutospacing="1" w:after="100" w:afterAutospacing="1" w:line="240" w:lineRule="auto"/>
        <w:jc w:val="both"/>
        <w:rPr>
          <w:rFonts w:ascii="Arial Narrow" w:eastAsia="Times New Roman" w:hAnsi="Arial Narrow" w:cs="Times New Roman"/>
          <w:sz w:val="24"/>
          <w:szCs w:val="24"/>
          <w:lang w:eastAsia="es-BO"/>
        </w:rPr>
      </w:pPr>
      <w:r w:rsidRPr="0017254D">
        <w:rPr>
          <w:rFonts w:ascii="Arial Narrow" w:eastAsia="Times New Roman" w:hAnsi="Arial Narrow" w:cs="Times New Roman"/>
          <w:sz w:val="24"/>
          <w:szCs w:val="24"/>
          <w:lang w:eastAsia="es-BO"/>
        </w:rPr>
        <w:t xml:space="preserve">Aplicado a </w:t>
      </w:r>
      <w:proofErr w:type="spellStart"/>
      <w:r w:rsidRPr="0017254D">
        <w:rPr>
          <w:rFonts w:ascii="Arial Narrow" w:eastAsia="Times New Roman" w:hAnsi="Arial Narrow" w:cs="Times New Roman"/>
          <w:sz w:val="24"/>
          <w:szCs w:val="24"/>
          <w:lang w:eastAsia="es-BO"/>
        </w:rPr>
        <w:t>Karakara</w:t>
      </w:r>
      <w:proofErr w:type="spellEnd"/>
      <w:r w:rsidRPr="0017254D">
        <w:rPr>
          <w:rFonts w:ascii="Arial Narrow" w:eastAsia="Times New Roman" w:hAnsi="Arial Narrow" w:cs="Times New Roman"/>
          <w:sz w:val="24"/>
          <w:szCs w:val="24"/>
          <w:lang w:eastAsia="es-BO"/>
        </w:rPr>
        <w:t xml:space="preserve">, </w:t>
      </w:r>
      <w:r w:rsidR="005B16C2">
        <w:rPr>
          <w:rFonts w:ascii="Arial Narrow" w:eastAsia="Times New Roman" w:hAnsi="Arial Narrow" w:cs="Times New Roman"/>
          <w:sz w:val="24"/>
          <w:szCs w:val="24"/>
          <w:lang w:eastAsia="es-BO"/>
        </w:rPr>
        <w:t xml:space="preserve">la técnica </w:t>
      </w:r>
      <w:r w:rsidRPr="0017254D">
        <w:rPr>
          <w:rFonts w:ascii="Arial Narrow" w:eastAsia="Times New Roman" w:hAnsi="Arial Narrow" w:cs="Times New Roman"/>
          <w:sz w:val="24"/>
          <w:szCs w:val="24"/>
          <w:lang w:eastAsia="es-BO"/>
        </w:rPr>
        <w:t xml:space="preserve">MASW puede optimizar la gestión del botadero al proporcionar información crucial para el diseño de sistemas de contención, </w:t>
      </w:r>
      <w:r w:rsidR="005B16C2">
        <w:rPr>
          <w:rFonts w:ascii="Arial Narrow" w:eastAsia="Times New Roman" w:hAnsi="Arial Narrow" w:cs="Times New Roman"/>
          <w:sz w:val="24"/>
          <w:szCs w:val="24"/>
          <w:lang w:eastAsia="es-BO"/>
        </w:rPr>
        <w:t xml:space="preserve">detección de sectores de infiltración, </w:t>
      </w:r>
      <w:r w:rsidRPr="0017254D">
        <w:rPr>
          <w:rFonts w:ascii="Arial Narrow" w:eastAsia="Times New Roman" w:hAnsi="Arial Narrow" w:cs="Times New Roman"/>
          <w:sz w:val="24"/>
          <w:szCs w:val="24"/>
          <w:lang w:eastAsia="es-BO"/>
        </w:rPr>
        <w:t xml:space="preserve">selección de sitios para monitoreo y la predicción </w:t>
      </w:r>
      <w:r w:rsidR="005B16C2">
        <w:rPr>
          <w:rFonts w:ascii="Arial Narrow" w:eastAsia="Times New Roman" w:hAnsi="Arial Narrow" w:cs="Times New Roman"/>
          <w:sz w:val="24"/>
          <w:szCs w:val="24"/>
          <w:lang w:eastAsia="es-BO"/>
        </w:rPr>
        <w:t xml:space="preserve">de infiltración </w:t>
      </w:r>
      <w:r w:rsidRPr="0017254D">
        <w:rPr>
          <w:rFonts w:ascii="Arial Narrow" w:eastAsia="Times New Roman" w:hAnsi="Arial Narrow" w:cs="Times New Roman"/>
          <w:sz w:val="24"/>
          <w:szCs w:val="24"/>
          <w:lang w:eastAsia="es-BO"/>
        </w:rPr>
        <w:t>del comportamiento a largo plazo del sitio</w:t>
      </w:r>
      <w:r w:rsidR="005B16C2">
        <w:rPr>
          <w:rFonts w:ascii="Arial Narrow" w:eastAsia="Times New Roman" w:hAnsi="Arial Narrow" w:cs="Times New Roman"/>
          <w:sz w:val="24"/>
          <w:szCs w:val="24"/>
          <w:lang w:eastAsia="es-BO"/>
        </w:rPr>
        <w:t xml:space="preserve">. </w:t>
      </w:r>
    </w:p>
    <w:p w14:paraId="714C0904" w14:textId="447343C8" w:rsidR="00D82804" w:rsidRPr="00ED2215" w:rsidRDefault="00ED2215" w:rsidP="00ED2215">
      <w:pPr>
        <w:spacing w:before="100" w:beforeAutospacing="1" w:after="100" w:afterAutospacing="1" w:line="240" w:lineRule="auto"/>
        <w:jc w:val="both"/>
        <w:rPr>
          <w:rFonts w:ascii="Arial Narrow" w:eastAsia="Times New Roman" w:hAnsi="Arial Narrow" w:cs="Times New Roman"/>
          <w:sz w:val="24"/>
          <w:szCs w:val="24"/>
          <w:lang w:eastAsia="es-BO"/>
        </w:rPr>
      </w:pPr>
      <w:r>
        <w:rPr>
          <w:rFonts w:ascii="Arial Narrow" w:eastAsia="Times New Roman" w:hAnsi="Arial Narrow" w:cs="Times New Roman"/>
          <w:sz w:val="24"/>
          <w:szCs w:val="24"/>
          <w:lang w:eastAsia="es-BO"/>
        </w:rPr>
        <w:object w:dxaOrig="1520" w:dyaOrig="987" w14:anchorId="14FC3543">
          <v:shape id="_x0000_i1028" type="#_x0000_t75" style="width:76.2pt;height:49.2pt" o:ole="">
            <v:imagedata r:id="rId7" o:title=""/>
          </v:shape>
          <o:OLEObject Type="Embed" ProgID="Package" ShapeID="_x0000_i1028" DrawAspect="Icon" ObjectID="_1806750910" r:id="rId8"/>
        </w:object>
      </w:r>
    </w:p>
    <w:sectPr w:rsidR="00D82804" w:rsidRPr="00ED2215" w:rsidSect="00742CE8">
      <w:pgSz w:w="12191" w:h="18428" w:code="5"/>
      <w:pgMar w:top="1417" w:right="1701" w:bottom="1417" w:left="1701" w:header="624" w:footer="1055"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14E23"/>
    <w:multiLevelType w:val="multilevel"/>
    <w:tmpl w:val="B974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2405AF"/>
    <w:multiLevelType w:val="multilevel"/>
    <w:tmpl w:val="5F4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7D8"/>
    <w:rsid w:val="0017254D"/>
    <w:rsid w:val="001C5866"/>
    <w:rsid w:val="002247D8"/>
    <w:rsid w:val="004C27D5"/>
    <w:rsid w:val="005B16C2"/>
    <w:rsid w:val="0071248B"/>
    <w:rsid w:val="00742CE8"/>
    <w:rsid w:val="00877A3E"/>
    <w:rsid w:val="00AB18D6"/>
    <w:rsid w:val="00D82804"/>
    <w:rsid w:val="00E26D2D"/>
    <w:rsid w:val="00ED2215"/>
    <w:rsid w:val="00FA6844"/>
    <w:rsid w:val="00FE1EE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69624"/>
  <w15:chartTrackingRefBased/>
  <w15:docId w15:val="{E0F4360C-97A9-4A4A-8F75-01115B23F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247D8"/>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customStyle="1" w:styleId="button-container">
    <w:name w:val="button-container"/>
    <w:basedOn w:val="Fuentedeprrafopredeter"/>
    <w:rsid w:val="002247D8"/>
  </w:style>
  <w:style w:type="character" w:styleId="Textoennegrita">
    <w:name w:val="Strong"/>
    <w:basedOn w:val="Fuentedeprrafopredeter"/>
    <w:uiPriority w:val="22"/>
    <w:qFormat/>
    <w:rsid w:val="001725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49654">
      <w:bodyDiv w:val="1"/>
      <w:marLeft w:val="0"/>
      <w:marRight w:val="0"/>
      <w:marTop w:val="0"/>
      <w:marBottom w:val="0"/>
      <w:divBdr>
        <w:top w:val="none" w:sz="0" w:space="0" w:color="auto"/>
        <w:left w:val="none" w:sz="0" w:space="0" w:color="auto"/>
        <w:bottom w:val="none" w:sz="0" w:space="0" w:color="auto"/>
        <w:right w:val="none" w:sz="0" w:space="0" w:color="auto"/>
      </w:divBdr>
    </w:div>
    <w:div w:id="74183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728</Words>
  <Characters>4009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zabalaga</dc:creator>
  <cp:keywords/>
  <dc:description/>
  <cp:lastModifiedBy>pablo zabalaga</cp:lastModifiedBy>
  <cp:revision>2</cp:revision>
  <dcterms:created xsi:type="dcterms:W3CDTF">2025-04-21T18:29:00Z</dcterms:created>
  <dcterms:modified xsi:type="dcterms:W3CDTF">2025-04-21T18:29:00Z</dcterms:modified>
</cp:coreProperties>
</file>